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6FAD9E">
      <w:pPr>
        <w:keepNext w:val="0"/>
        <w:keepLines w:val="0"/>
        <w:pageBreakBefore w:val="0"/>
        <w:numPr>
          <w:ilvl w:val="0"/>
          <w:numId w:val="0"/>
        </w:numPr>
        <w:kinsoku/>
        <w:wordWrap/>
        <w:overflowPunct/>
        <w:topLinePunct w:val="0"/>
        <w:autoSpaceDE/>
        <w:autoSpaceDN/>
        <w:bidi w:val="0"/>
        <w:adjustRightInd/>
        <w:snapToGrid/>
        <w:spacing w:line="240" w:lineRule="auto"/>
        <w:jc w:val="center"/>
        <w:textAlignment w:val="auto"/>
        <w:rPr>
          <w:rFonts w:hint="eastAsia" w:ascii="方正小标宋_GBK" w:hAnsi="方正小标宋_GBK" w:eastAsia="方正小标宋_GBK" w:cs="方正小标宋_GBK"/>
          <w:sz w:val="32"/>
          <w:szCs w:val="32"/>
          <w:lang w:val="en-US" w:eastAsia="zh-CN"/>
        </w:rPr>
      </w:pPr>
      <w:r>
        <w:rPr>
          <w:rFonts w:hint="eastAsia" w:ascii="方正小标宋_GBK" w:hAnsi="方正小标宋_GBK" w:eastAsia="方正小标宋_GBK" w:cs="方正小标宋_GBK"/>
          <w:sz w:val="32"/>
          <w:szCs w:val="32"/>
          <w:lang w:val="en-US" w:eastAsia="zh-CN"/>
        </w:rPr>
        <w:t>江苏省国画院危房消险加固方案设计项目比价文件</w:t>
      </w:r>
    </w:p>
    <w:p w14:paraId="3EA48EA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黑体" w:hAnsi="黑体" w:eastAsia="黑体" w:cs="黑体"/>
          <w:sz w:val="24"/>
          <w:szCs w:val="24"/>
          <w:lang w:val="en-US" w:eastAsia="zh-CN"/>
        </w:rPr>
      </w:pPr>
      <w:r>
        <w:rPr>
          <w:rFonts w:hint="eastAsia" w:ascii="黑体" w:hAnsi="黑体" w:eastAsia="黑体" w:cs="黑体"/>
          <w:kern w:val="2"/>
          <w:sz w:val="24"/>
          <w:szCs w:val="24"/>
          <w:lang w:val="en-US" w:eastAsia="zh-CN" w:bidi="ar-SA"/>
        </w:rPr>
        <w:t>一、</w:t>
      </w:r>
      <w:r>
        <w:rPr>
          <w:rFonts w:hint="eastAsia" w:ascii="黑体" w:hAnsi="黑体" w:eastAsia="黑体" w:cs="黑体"/>
          <w:sz w:val="24"/>
          <w:szCs w:val="24"/>
          <w:lang w:val="en-US" w:eastAsia="zh-CN"/>
        </w:rPr>
        <w:t>项目名称</w:t>
      </w:r>
    </w:p>
    <w:p w14:paraId="18CA69F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江苏省国画院危房消险加固方案设计项目</w:t>
      </w:r>
    </w:p>
    <w:p w14:paraId="2DE37F1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二、项目预算</w:t>
      </w:r>
    </w:p>
    <w:p w14:paraId="6FE95A1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黑体" w:hAnsi="黑体" w:eastAsia="黑体" w:cs="黑体"/>
          <w:lang w:val="en-US" w:eastAsia="zh-CN"/>
        </w:rPr>
      </w:pPr>
      <w:r>
        <w:rPr>
          <w:rFonts w:hint="eastAsia" w:ascii="仿宋" w:hAnsi="仿宋" w:eastAsia="仿宋" w:cs="仿宋"/>
          <w:sz w:val="24"/>
          <w:szCs w:val="24"/>
          <w:lang w:val="en-US" w:eastAsia="zh-CN"/>
        </w:rPr>
        <w:t>9.5万元。报价不得超过预算金额，否则按无效投标处理。</w:t>
      </w:r>
    </w:p>
    <w:p w14:paraId="77BB5E9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黑体" w:hAnsi="黑体" w:eastAsia="黑体" w:cs="黑体"/>
          <w:sz w:val="24"/>
          <w:szCs w:val="24"/>
          <w:lang w:val="en-US" w:eastAsia="zh-CN"/>
        </w:rPr>
        <w:t>三、项目概况</w:t>
      </w:r>
    </w:p>
    <w:p w14:paraId="706B032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江苏省国画院成立于 1957 年 2 月，距今已有 60 余年，现国画院位于鼓楼区虎踞路 175-1 号，建筑风格以中式仿古为主，结合传统园林山水的营造，整体文化艺术氛围浓厚。省国画院可分为东区及西区两片区域，由于建设年代久远，常年失修，建筑出现了较为严重的破损，东区部分外廊及西区建筑经过房 屋危险性鉴定认定为 C 级和 D 级危房，存在较大的安全隐患，西区房 屋闲置多年，环境破败，急待排除建筑险情，江苏省国画院危房消险加固和维修改造后重新利用，确保画院工作人员和画家的人生安全及工作环境安全和谐。</w:t>
      </w:r>
    </w:p>
    <w:p w14:paraId="225E688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江苏省国画院可分为东区和西区两个区域。东区建筑占地面积约1925 平方米、总建筑面积约 3566 平方米；西区建筑占地面积约 745.85平方米、总建筑面积约 1344 平方米，根据房屋危险性鉴定报告及现场实际情况，本次工程设计主要包含有以下内容： </w:t>
      </w:r>
    </w:p>
    <w:p w14:paraId="7BAA3F5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楷体" w:hAnsi="楷体" w:eastAsia="楷体" w:cs="楷体"/>
          <w:sz w:val="24"/>
          <w:szCs w:val="24"/>
          <w:lang w:val="en-US" w:eastAsia="zh-CN"/>
        </w:rPr>
      </w:pPr>
      <w:r>
        <w:rPr>
          <w:rFonts w:hint="eastAsia" w:ascii="楷体" w:hAnsi="楷体" w:eastAsia="楷体" w:cs="楷体"/>
          <w:sz w:val="24"/>
          <w:szCs w:val="24"/>
          <w:lang w:val="en-US" w:eastAsia="zh-CN"/>
        </w:rPr>
        <w:t xml:space="preserve">（1）东区 </w:t>
      </w:r>
    </w:p>
    <w:p w14:paraId="6875A1E7">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根据现场情况，东区工程设计内容主要有：建筑屋面维修、屋面清杂、建筑外立面粉刷及油漆修补、木门窗油漆修补、檐口仿木结构修补、 危廊局部结构加固、外廊油漆修补、外廊屋面清杂局部瓦片更换、展览厅地下室室内整治维修、木结构白蚁防治、室外安全环境整治、院墙加固维修等。 </w:t>
      </w:r>
    </w:p>
    <w:p w14:paraId="27CFB5BD">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楷体" w:hAnsi="楷体" w:eastAsia="楷体" w:cs="楷体"/>
          <w:sz w:val="24"/>
          <w:szCs w:val="24"/>
          <w:lang w:val="en-US" w:eastAsia="zh-CN"/>
        </w:rPr>
      </w:pPr>
      <w:r>
        <w:rPr>
          <w:rFonts w:hint="eastAsia" w:ascii="楷体" w:hAnsi="楷体" w:eastAsia="楷体" w:cs="楷体"/>
          <w:sz w:val="24"/>
          <w:szCs w:val="24"/>
          <w:lang w:val="en-US" w:eastAsia="zh-CN"/>
        </w:rPr>
        <w:t xml:space="preserve">（2）西区 </w:t>
      </w:r>
    </w:p>
    <w:p w14:paraId="6C32C3E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根据房屋危险性鉴定报告及现场情况，西区工程设计内容主要有：建筑结构加固、室内格局局部改造、建筑屋面维修、建筑外立面维修、建筑门窗更换、满足必要使用要求的简装、安全环境整治、院墙加固维修、老旧水电管线改造、安消防设施建设等。</w:t>
      </w:r>
    </w:p>
    <w:p w14:paraId="530CA4AC">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四、招投标要求</w:t>
      </w:r>
    </w:p>
    <w:p w14:paraId="7EED29D1">
      <w:pPr>
        <w:keepNext w:val="0"/>
        <w:keepLines w:val="0"/>
        <w:pageBreakBefore w:val="0"/>
        <w:numPr>
          <w:ilvl w:val="0"/>
          <w:numId w:val="0"/>
        </w:numPr>
        <w:kinsoku/>
        <w:wordWrap/>
        <w:overflowPunct/>
        <w:topLinePunct w:val="0"/>
        <w:autoSpaceDE/>
        <w:autoSpaceDN/>
        <w:bidi w:val="0"/>
        <w:adjustRightInd/>
        <w:snapToGrid/>
        <w:spacing w:line="240" w:lineRule="auto"/>
        <w:textAlignment w:val="auto"/>
        <w:rPr>
          <w:rFonts w:hint="eastAsia" w:ascii="楷体" w:hAnsi="楷体" w:eastAsia="楷体" w:cs="楷体"/>
          <w:b w:val="0"/>
          <w:bCs w:val="0"/>
          <w:sz w:val="24"/>
          <w:szCs w:val="24"/>
        </w:rPr>
      </w:pPr>
      <w:r>
        <w:rPr>
          <w:rFonts w:hint="eastAsia" w:ascii="楷体" w:hAnsi="楷体" w:eastAsia="楷体" w:cs="楷体"/>
          <w:b w:val="0"/>
          <w:bCs w:val="0"/>
          <w:sz w:val="24"/>
          <w:szCs w:val="24"/>
          <w:lang w:eastAsia="zh-CN"/>
        </w:rPr>
        <w:t>（</w:t>
      </w:r>
      <w:r>
        <w:rPr>
          <w:rFonts w:hint="eastAsia" w:ascii="楷体" w:hAnsi="楷体" w:eastAsia="楷体" w:cs="楷体"/>
          <w:b w:val="0"/>
          <w:bCs w:val="0"/>
          <w:sz w:val="24"/>
          <w:szCs w:val="24"/>
          <w:lang w:val="en-US" w:eastAsia="zh-CN"/>
        </w:rPr>
        <w:t>一</w:t>
      </w:r>
      <w:r>
        <w:rPr>
          <w:rFonts w:hint="eastAsia" w:ascii="楷体" w:hAnsi="楷体" w:eastAsia="楷体" w:cs="楷体"/>
          <w:b w:val="0"/>
          <w:bCs w:val="0"/>
          <w:sz w:val="24"/>
          <w:szCs w:val="24"/>
          <w:lang w:eastAsia="zh-CN"/>
        </w:rPr>
        <w:t>）</w:t>
      </w:r>
      <w:r>
        <w:rPr>
          <w:rFonts w:hint="eastAsia" w:ascii="楷体" w:hAnsi="楷体" w:eastAsia="楷体" w:cs="楷体"/>
          <w:b w:val="0"/>
          <w:bCs w:val="0"/>
          <w:sz w:val="24"/>
          <w:szCs w:val="24"/>
        </w:rPr>
        <w:t>投标的供应商必须符合下列条件（</w:t>
      </w:r>
      <w:r>
        <w:rPr>
          <w:rFonts w:hint="eastAsia" w:ascii="楷体" w:hAnsi="楷体" w:eastAsia="楷体" w:cs="楷体"/>
          <w:b w:val="0"/>
          <w:bCs w:val="0"/>
          <w:sz w:val="24"/>
          <w:szCs w:val="24"/>
          <w:lang w:val="en-US" w:eastAsia="zh-CN"/>
        </w:rPr>
        <w:t>包括但不</w:t>
      </w:r>
      <w:r>
        <w:rPr>
          <w:rFonts w:hint="eastAsia" w:ascii="楷体" w:hAnsi="楷体" w:eastAsia="楷体" w:cs="楷体"/>
          <w:b w:val="0"/>
          <w:bCs w:val="0"/>
          <w:sz w:val="24"/>
          <w:szCs w:val="24"/>
        </w:rPr>
        <w:t>限于以下内容）：</w:t>
      </w:r>
    </w:p>
    <w:p w14:paraId="2B82D197">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1.具有独立承担民事责任的能力；</w:t>
      </w:r>
    </w:p>
    <w:p w14:paraId="2306590D">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2.具有良好的商业信誉和健全的财务会计制度；</w:t>
      </w:r>
    </w:p>
    <w:p w14:paraId="28C6744A">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3.具有履行合同所必需的设备和专业技术能力；</w:t>
      </w:r>
    </w:p>
    <w:p w14:paraId="04F67505">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4.有依法缴纳税收和社会保障资金的良好记录；</w:t>
      </w:r>
    </w:p>
    <w:p w14:paraId="6953ADA1">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5.参加采购活动前三年内，在经营活动中没有重大违法记录；</w:t>
      </w:r>
    </w:p>
    <w:p w14:paraId="3D1D3FD8">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6.在“信用中国”(www.creditchina.gov.cn)、中国政府采购网(www.ccgp.gov.cn)等网站中被列入失信被执行人、重大税收违法案件当事人名单、政府采购严重违法失信行为记录名单的供应商不得参加；</w:t>
      </w:r>
    </w:p>
    <w:p w14:paraId="01DC49F1">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7.本项目的特定资格要求；</w:t>
      </w:r>
    </w:p>
    <w:p w14:paraId="2AC10BE9">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8.法律、行政法规和本招标文件规定的其他条件；</w:t>
      </w:r>
    </w:p>
    <w:p w14:paraId="29CFC39A">
      <w:pPr>
        <w:keepNext w:val="0"/>
        <w:keepLines w:val="0"/>
        <w:pageBreakBefore w:val="0"/>
        <w:numPr>
          <w:ilvl w:val="0"/>
          <w:numId w:val="0"/>
        </w:numPr>
        <w:kinsoku/>
        <w:wordWrap/>
        <w:overflowPunct/>
        <w:topLinePunct w:val="0"/>
        <w:autoSpaceDE/>
        <w:autoSpaceDN/>
        <w:bidi w:val="0"/>
        <w:adjustRightInd/>
        <w:snapToGrid/>
        <w:spacing w:line="240" w:lineRule="auto"/>
        <w:ind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9.本项目不接受联合体投标。</w:t>
      </w:r>
    </w:p>
    <w:p w14:paraId="4101FA6D">
      <w:pPr>
        <w:keepNext w:val="0"/>
        <w:keepLines w:val="0"/>
        <w:pageBreakBefore w:val="0"/>
        <w:numPr>
          <w:ilvl w:val="0"/>
          <w:numId w:val="0"/>
        </w:numPr>
        <w:kinsoku/>
        <w:wordWrap/>
        <w:overflowPunct/>
        <w:topLinePunct w:val="0"/>
        <w:autoSpaceDE/>
        <w:autoSpaceDN/>
        <w:bidi w:val="0"/>
        <w:adjustRightInd/>
        <w:snapToGrid/>
        <w:spacing w:line="240" w:lineRule="auto"/>
        <w:textAlignment w:val="auto"/>
        <w:rPr>
          <w:rFonts w:hint="eastAsia" w:ascii="楷体" w:hAnsi="楷体" w:eastAsia="楷体" w:cs="楷体"/>
          <w:b w:val="0"/>
          <w:bCs w:val="0"/>
          <w:sz w:val="24"/>
          <w:szCs w:val="24"/>
        </w:rPr>
      </w:pPr>
      <w:r>
        <w:rPr>
          <w:rFonts w:hint="eastAsia" w:ascii="楷体" w:hAnsi="楷体" w:eastAsia="楷体" w:cs="楷体"/>
          <w:b w:val="0"/>
          <w:bCs w:val="0"/>
          <w:sz w:val="24"/>
          <w:szCs w:val="24"/>
          <w:lang w:val="en-US" w:eastAsia="zh-CN"/>
        </w:rPr>
        <w:t>（二）</w:t>
      </w:r>
      <w:r>
        <w:rPr>
          <w:rFonts w:hint="eastAsia" w:ascii="楷体" w:hAnsi="楷体" w:eastAsia="楷体" w:cs="楷体"/>
          <w:b w:val="0"/>
          <w:bCs w:val="0"/>
          <w:sz w:val="24"/>
          <w:szCs w:val="24"/>
        </w:rPr>
        <w:t>投标要求：</w:t>
      </w:r>
    </w:p>
    <w:p w14:paraId="35359857">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240" w:lineRule="auto"/>
        <w:ind w:right="0" w:firstLine="420" w:firstLineChars="0"/>
        <w:textAlignment w:val="auto"/>
        <w:rPr>
          <w:rFonts w:hint="eastAsia" w:ascii="仿宋" w:hAnsi="仿宋" w:eastAsia="仿宋" w:cs="仿宋"/>
          <w:i/>
          <w:iCs/>
          <w:color w:val="auto"/>
          <w:kern w:val="2"/>
          <w:sz w:val="24"/>
          <w:szCs w:val="24"/>
          <w:u w:val="single"/>
          <w:lang w:val="en-US" w:eastAsia="zh-CN" w:bidi="ar-SA"/>
        </w:rPr>
      </w:pPr>
      <w:r>
        <w:rPr>
          <w:rFonts w:hint="eastAsia" w:ascii="仿宋" w:hAnsi="仿宋" w:eastAsia="仿宋" w:cs="仿宋"/>
          <w:i/>
          <w:iCs/>
          <w:color w:val="auto"/>
          <w:kern w:val="2"/>
          <w:sz w:val="24"/>
          <w:szCs w:val="24"/>
          <w:u w:val="single"/>
          <w:lang w:val="en-US" w:eastAsia="zh-CN" w:bidi="ar-SA"/>
        </w:rPr>
        <w:t>1.投标人须有承接过类似工程项目的成功经验并具备符合需求的专业技术人员；必须具备工程设计甲级资质或建筑行业（建筑工程）设计乙级及以上资质。 拟派项目负责人必须具备一级注册建筑师资格。</w:t>
      </w:r>
    </w:p>
    <w:p w14:paraId="4896183A">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2.本次采购结算方式为固定单价合同，须涵盖项目全部内容；</w:t>
      </w:r>
    </w:p>
    <w:p w14:paraId="0EF6A71D">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3.报价超出本项目预算的为废标；</w:t>
      </w:r>
    </w:p>
    <w:p w14:paraId="4E62A23A">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i/>
          <w:iCs/>
          <w:color w:val="auto"/>
          <w:kern w:val="2"/>
          <w:sz w:val="24"/>
          <w:szCs w:val="24"/>
          <w:u w:val="single"/>
          <w:lang w:val="en-US" w:eastAsia="zh-CN" w:bidi="ar-SA"/>
        </w:rPr>
      </w:pPr>
      <w:r>
        <w:rPr>
          <w:rFonts w:hint="eastAsia" w:ascii="仿宋" w:hAnsi="仿宋" w:eastAsia="仿宋" w:cs="仿宋"/>
          <w:i/>
          <w:iCs/>
          <w:color w:val="auto"/>
          <w:kern w:val="2"/>
          <w:sz w:val="24"/>
          <w:szCs w:val="24"/>
          <w:u w:val="single"/>
          <w:lang w:val="en-US" w:eastAsia="zh-CN" w:bidi="ar-SA"/>
        </w:rPr>
        <w:t>4.报价文件须包含报价单、营业执照（复印件加盖公章）、相应资质证明文件（复印件加盖公章）、相关业绩（合同）（复印件加盖公章）、法定代表人或法人授权委托书（复印件加盖公章）及其身份证的复印件并加盖公章；</w:t>
      </w:r>
    </w:p>
    <w:p w14:paraId="078A5214">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5.报价文件应加盖投标供应商公章及骑缝章，置于档案袋内，档案袋口密封并加盖供应商公章；</w:t>
      </w:r>
    </w:p>
    <w:p w14:paraId="336DDEB4">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default" w:ascii="仿宋" w:hAnsi="仿宋" w:eastAsia="仿宋" w:cs="仿宋"/>
          <w:i/>
          <w:iCs/>
          <w:color w:val="auto"/>
          <w:kern w:val="2"/>
          <w:sz w:val="24"/>
          <w:szCs w:val="24"/>
          <w:u w:val="single"/>
          <w:lang w:val="en-US" w:eastAsia="zh-CN" w:bidi="ar-SA"/>
        </w:rPr>
      </w:pPr>
      <w:r>
        <w:rPr>
          <w:rFonts w:hint="eastAsia" w:ascii="仿宋" w:hAnsi="仿宋" w:eastAsia="仿宋" w:cs="仿宋"/>
          <w:i/>
          <w:iCs/>
          <w:color w:val="auto"/>
          <w:kern w:val="2"/>
          <w:sz w:val="24"/>
          <w:szCs w:val="24"/>
          <w:u w:val="single"/>
          <w:lang w:val="en-US" w:eastAsia="zh-CN" w:bidi="ar-SA"/>
        </w:rPr>
        <w:t>6.报价文件须包含采购人要求的承接项目申请表（见招标文件附件）</w:t>
      </w:r>
    </w:p>
    <w:p w14:paraId="409091DB">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7.供应商资质不满足要求为废标。</w:t>
      </w:r>
    </w:p>
    <w:p w14:paraId="0C778873">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default" w:ascii="仿宋" w:hAnsi="仿宋" w:eastAsia="仿宋" w:cs="仿宋"/>
          <w:color w:val="auto"/>
          <w:kern w:val="2"/>
          <w:sz w:val="24"/>
          <w:szCs w:val="24"/>
          <w:lang w:val="en-US" w:eastAsia="zh-CN" w:bidi="ar-SA"/>
        </w:rPr>
      </w:pPr>
      <w:r>
        <w:rPr>
          <w:rFonts w:hint="eastAsia" w:ascii="仿宋" w:hAnsi="仿宋" w:eastAsia="仿宋" w:cs="仿宋"/>
          <w:color w:val="auto"/>
          <w:kern w:val="2"/>
          <w:sz w:val="24"/>
          <w:szCs w:val="24"/>
          <w:lang w:val="en-US" w:eastAsia="zh-CN" w:bidi="ar-SA"/>
        </w:rPr>
        <w:t>8.以上斜体部分为实质性相应内容，供应商必须如实响应。</w:t>
      </w:r>
    </w:p>
    <w:p w14:paraId="4A261C70">
      <w:pPr>
        <w:keepNext w:val="0"/>
        <w:keepLines w:val="0"/>
        <w:pageBreakBefore w:val="0"/>
        <w:numPr>
          <w:ilvl w:val="0"/>
          <w:numId w:val="0"/>
        </w:numPr>
        <w:kinsoku/>
        <w:wordWrap/>
        <w:overflowPunct/>
        <w:topLinePunct w:val="0"/>
        <w:autoSpaceDE/>
        <w:autoSpaceDN/>
        <w:bidi w:val="0"/>
        <w:adjustRightInd/>
        <w:snapToGrid/>
        <w:spacing w:line="240" w:lineRule="auto"/>
        <w:ind w:leftChars="0"/>
        <w:textAlignment w:val="auto"/>
        <w:rPr>
          <w:rFonts w:hint="eastAsia" w:ascii="楷体" w:hAnsi="楷体" w:eastAsia="楷体" w:cs="楷体"/>
          <w:b w:val="0"/>
          <w:bCs w:val="0"/>
          <w:color w:val="auto"/>
          <w:sz w:val="24"/>
          <w:szCs w:val="24"/>
          <w:lang w:eastAsia="zh-CN"/>
        </w:rPr>
      </w:pPr>
      <w:r>
        <w:rPr>
          <w:rFonts w:hint="eastAsia" w:ascii="楷体" w:hAnsi="楷体" w:eastAsia="楷体" w:cs="楷体"/>
          <w:b w:val="0"/>
          <w:bCs w:val="0"/>
          <w:color w:val="auto"/>
          <w:sz w:val="24"/>
          <w:szCs w:val="24"/>
          <w:lang w:val="en-US" w:eastAsia="zh-CN"/>
        </w:rPr>
        <w:t>（三）招标</w:t>
      </w:r>
      <w:r>
        <w:rPr>
          <w:rFonts w:hint="eastAsia" w:ascii="楷体" w:hAnsi="楷体" w:eastAsia="楷体" w:cs="楷体"/>
          <w:b w:val="0"/>
          <w:bCs w:val="0"/>
          <w:color w:val="auto"/>
          <w:sz w:val="24"/>
          <w:szCs w:val="24"/>
        </w:rPr>
        <w:t>文件接收信息</w:t>
      </w:r>
      <w:r>
        <w:rPr>
          <w:rFonts w:hint="eastAsia" w:ascii="楷体" w:hAnsi="楷体" w:eastAsia="楷体" w:cs="楷体"/>
          <w:b w:val="0"/>
          <w:bCs w:val="0"/>
          <w:color w:val="auto"/>
          <w:sz w:val="24"/>
          <w:szCs w:val="24"/>
          <w:lang w:eastAsia="zh-CN"/>
        </w:rPr>
        <w:t>：</w:t>
      </w:r>
    </w:p>
    <w:p w14:paraId="18679C02">
      <w:pPr>
        <w:keepNext w:val="0"/>
        <w:keepLines w:val="0"/>
        <w:pageBreakBefore w:val="0"/>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w:t>
      </w:r>
      <w:r>
        <w:rPr>
          <w:rFonts w:hint="eastAsia" w:ascii="仿宋" w:hAnsi="仿宋" w:eastAsia="仿宋" w:cs="仿宋"/>
          <w:sz w:val="24"/>
          <w:szCs w:val="24"/>
        </w:rPr>
        <w:t>报价文件递交截止时间：</w:t>
      </w:r>
      <w:r>
        <w:rPr>
          <w:rFonts w:hint="eastAsia" w:ascii="仿宋" w:hAnsi="仿宋" w:eastAsia="仿宋" w:cs="仿宋"/>
          <w:color w:val="auto"/>
          <w:sz w:val="24"/>
          <w:szCs w:val="24"/>
        </w:rPr>
        <w:t>202</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rPr>
        <w:t>月</w:t>
      </w:r>
      <w:r>
        <w:rPr>
          <w:rFonts w:hint="eastAsia" w:ascii="仿宋" w:hAnsi="仿宋" w:eastAsia="仿宋" w:cs="仿宋"/>
          <w:color w:val="auto"/>
          <w:sz w:val="24"/>
          <w:szCs w:val="24"/>
          <w:lang w:val="en-US" w:eastAsia="zh-CN"/>
        </w:rPr>
        <w:t>18</w:t>
      </w:r>
      <w:r>
        <w:rPr>
          <w:rFonts w:hint="eastAsia" w:ascii="仿宋" w:hAnsi="仿宋" w:eastAsia="仿宋" w:cs="仿宋"/>
          <w:color w:val="auto"/>
          <w:sz w:val="24"/>
          <w:szCs w:val="24"/>
        </w:rPr>
        <w:t>日</w:t>
      </w:r>
      <w:r>
        <w:rPr>
          <w:rFonts w:hint="eastAsia" w:ascii="仿宋" w:hAnsi="仿宋" w:eastAsia="仿宋" w:cs="仿宋"/>
          <w:color w:val="auto"/>
          <w:sz w:val="24"/>
          <w:szCs w:val="24"/>
          <w:lang w:val="en-US" w:eastAsia="zh-CN"/>
        </w:rPr>
        <w:t xml:space="preserve">  下午15:00点</w:t>
      </w:r>
    </w:p>
    <w:p w14:paraId="76EDC630">
      <w:pPr>
        <w:keepNext w:val="0"/>
        <w:keepLines w:val="0"/>
        <w:pageBreakBefore w:val="0"/>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2.</w:t>
      </w:r>
      <w:r>
        <w:rPr>
          <w:rFonts w:hint="eastAsia" w:ascii="仿宋" w:hAnsi="仿宋" w:eastAsia="仿宋" w:cs="仿宋"/>
          <w:sz w:val="24"/>
          <w:szCs w:val="24"/>
        </w:rPr>
        <w:t>报价文件递交地点：南京市虎踞路175-1号江苏省国画院</w:t>
      </w:r>
    </w:p>
    <w:p w14:paraId="0B839AEF">
      <w:pPr>
        <w:keepNext w:val="0"/>
        <w:keepLines w:val="0"/>
        <w:pageBreakBefore w:val="0"/>
        <w:kinsoku/>
        <w:wordWrap/>
        <w:overflowPunct/>
        <w:topLinePunct w:val="0"/>
        <w:autoSpaceDE/>
        <w:autoSpaceDN/>
        <w:bidi w:val="0"/>
        <w:adjustRightInd/>
        <w:snapToGrid/>
        <w:spacing w:line="240" w:lineRule="auto"/>
        <w:ind w:firstLine="420" w:firstLineChars="0"/>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3.</w:t>
      </w:r>
      <w:r>
        <w:rPr>
          <w:rFonts w:hint="eastAsia" w:ascii="仿宋" w:hAnsi="仿宋" w:eastAsia="仿宋" w:cs="仿宋"/>
          <w:sz w:val="24"/>
          <w:szCs w:val="24"/>
        </w:rPr>
        <w:t>报价文件接收人：</w:t>
      </w:r>
      <w:r>
        <w:rPr>
          <w:rFonts w:hint="eastAsia" w:ascii="仿宋" w:hAnsi="仿宋" w:eastAsia="仿宋" w:cs="仿宋"/>
          <w:sz w:val="24"/>
          <w:szCs w:val="24"/>
          <w:lang w:val="en-US" w:eastAsia="zh-CN"/>
        </w:rPr>
        <w:t>刘老师</w:t>
      </w:r>
    </w:p>
    <w:p w14:paraId="7CA328AB">
      <w:pPr>
        <w:keepNext w:val="0"/>
        <w:keepLines w:val="0"/>
        <w:pageBreakBefore w:val="0"/>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4.</w:t>
      </w:r>
      <w:r>
        <w:rPr>
          <w:rFonts w:hint="eastAsia" w:ascii="仿宋" w:hAnsi="仿宋" w:eastAsia="仿宋" w:cs="仿宋"/>
          <w:sz w:val="24"/>
          <w:szCs w:val="24"/>
        </w:rPr>
        <w:t>联系电话：</w:t>
      </w:r>
      <w:r>
        <w:rPr>
          <w:rFonts w:hint="eastAsia" w:ascii="仿宋" w:hAnsi="仿宋" w:eastAsia="仿宋" w:cs="仿宋"/>
          <w:sz w:val="24"/>
          <w:szCs w:val="24"/>
          <w:lang w:val="en-US" w:eastAsia="zh-CN"/>
        </w:rPr>
        <w:t>025-58956296</w:t>
      </w:r>
    </w:p>
    <w:p w14:paraId="52FB44A5">
      <w:pPr>
        <w:keepNext w:val="0"/>
        <w:keepLines w:val="0"/>
        <w:pageBreakBefore w:val="0"/>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5.</w:t>
      </w:r>
      <w:r>
        <w:rPr>
          <w:rFonts w:hint="eastAsia" w:ascii="仿宋" w:hAnsi="仿宋" w:eastAsia="仿宋" w:cs="仿宋"/>
          <w:sz w:val="24"/>
          <w:szCs w:val="24"/>
        </w:rPr>
        <w:t>报价文件亦可采用邮寄或快递的方式在投标截止时间之前送达，逾期恕不接受。</w:t>
      </w:r>
    </w:p>
    <w:p w14:paraId="66E51001">
      <w:pPr>
        <w:keepNext w:val="0"/>
        <w:keepLines w:val="0"/>
        <w:pageBreakBefore w:val="0"/>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rPr>
      </w:pPr>
      <w:r>
        <w:rPr>
          <w:rFonts w:hint="eastAsia" w:ascii="仿宋" w:hAnsi="仿宋" w:eastAsia="仿宋" w:cs="仿宋"/>
          <w:sz w:val="24"/>
          <w:szCs w:val="24"/>
          <w:lang w:val="en-US" w:eastAsia="zh-CN"/>
        </w:rPr>
        <w:t>6.</w:t>
      </w:r>
      <w:r>
        <w:rPr>
          <w:rFonts w:hint="eastAsia" w:ascii="仿宋" w:hAnsi="仿宋" w:eastAsia="仿宋" w:cs="仿宋"/>
          <w:sz w:val="24"/>
          <w:szCs w:val="24"/>
        </w:rPr>
        <w:t>报价文件在投标截止时间后一律不予退回。</w:t>
      </w:r>
    </w:p>
    <w:p w14:paraId="1A9CD1FC">
      <w:pPr>
        <w:keepNext w:val="0"/>
        <w:keepLines w:val="0"/>
        <w:pageBreakBefore w:val="0"/>
        <w:numPr>
          <w:ilvl w:val="0"/>
          <w:numId w:val="0"/>
        </w:numPr>
        <w:kinsoku/>
        <w:wordWrap/>
        <w:overflowPunct/>
        <w:topLinePunct w:val="0"/>
        <w:autoSpaceDE/>
        <w:autoSpaceDN/>
        <w:bidi w:val="0"/>
        <w:adjustRightInd/>
        <w:snapToGrid/>
        <w:spacing w:line="240" w:lineRule="auto"/>
        <w:ind w:leftChars="0"/>
        <w:textAlignment w:val="auto"/>
        <w:rPr>
          <w:rFonts w:hint="eastAsia" w:ascii="楷体" w:hAnsi="楷体" w:eastAsia="楷体" w:cs="楷体"/>
          <w:b w:val="0"/>
          <w:bCs w:val="0"/>
          <w:sz w:val="24"/>
          <w:szCs w:val="24"/>
          <w:lang w:val="en-US" w:eastAsia="zh-CN"/>
        </w:rPr>
      </w:pPr>
      <w:r>
        <w:rPr>
          <w:rFonts w:hint="eastAsia" w:ascii="楷体" w:hAnsi="楷体" w:eastAsia="楷体" w:cs="楷体"/>
          <w:b w:val="0"/>
          <w:bCs w:val="0"/>
          <w:sz w:val="24"/>
          <w:szCs w:val="24"/>
          <w:lang w:val="en-US" w:eastAsia="zh-CN"/>
        </w:rPr>
        <w:t>（四）开标有关信息：</w:t>
      </w:r>
    </w:p>
    <w:p w14:paraId="41565765">
      <w:pPr>
        <w:keepNext w:val="0"/>
        <w:keepLines w:val="0"/>
        <w:pageBreakBefore w:val="0"/>
        <w:kinsoku/>
        <w:wordWrap/>
        <w:overflowPunct/>
        <w:topLinePunct w:val="0"/>
        <w:autoSpaceDE/>
        <w:autoSpaceDN/>
        <w:bidi w:val="0"/>
        <w:adjustRightInd/>
        <w:snapToGrid/>
        <w:spacing w:line="240" w:lineRule="auto"/>
        <w:ind w:firstLine="420" w:firstLineChars="0"/>
        <w:textAlignment w:val="auto"/>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本次采购由</w:t>
      </w:r>
      <w:r>
        <w:rPr>
          <w:rFonts w:hint="eastAsia" w:ascii="仿宋" w:hAnsi="仿宋" w:eastAsia="仿宋" w:cs="仿宋"/>
          <w:sz w:val="24"/>
          <w:szCs w:val="24"/>
        </w:rPr>
        <w:t>江苏省国画院</w:t>
      </w:r>
      <w:r>
        <w:rPr>
          <w:rFonts w:hint="eastAsia" w:ascii="仿宋" w:hAnsi="仿宋" w:eastAsia="仿宋" w:cs="仿宋"/>
          <w:sz w:val="24"/>
          <w:szCs w:val="24"/>
          <w:lang w:val="en-US" w:eastAsia="zh-CN"/>
        </w:rPr>
        <w:t>自行组织、专家组评审，符合相应资格条件的供应商不少于3家时，根据符合采购需求、质量和服务</w:t>
      </w:r>
      <w:bookmarkStart w:id="0" w:name="_GoBack"/>
      <w:bookmarkEnd w:id="0"/>
      <w:r>
        <w:rPr>
          <w:rFonts w:hint="eastAsia" w:ascii="仿宋" w:hAnsi="仿宋" w:eastAsia="仿宋" w:cs="仿宋"/>
          <w:sz w:val="24"/>
          <w:szCs w:val="24"/>
          <w:lang w:val="en-US" w:eastAsia="zh-CN"/>
        </w:rPr>
        <w:t>相等且报价最低的原则确定成交供应商，无需供应商到场。本项目采用最低成交价法，即价格最低者为中标单位。</w:t>
      </w:r>
    </w:p>
    <w:p w14:paraId="6C1EF334">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黑体" w:hAnsi="黑体" w:eastAsia="黑体" w:cs="黑体"/>
          <w:sz w:val="24"/>
          <w:szCs w:val="24"/>
          <w:lang w:val="en-US" w:eastAsia="zh-CN"/>
        </w:rPr>
      </w:pPr>
      <w:r>
        <w:rPr>
          <w:rFonts w:hint="eastAsia" w:ascii="黑体" w:hAnsi="黑体" w:eastAsia="黑体" w:cs="黑体"/>
          <w:kern w:val="2"/>
          <w:sz w:val="24"/>
          <w:szCs w:val="24"/>
          <w:lang w:val="en-US" w:eastAsia="zh-CN" w:bidi="ar-SA"/>
        </w:rPr>
        <w:t>五、</w:t>
      </w:r>
      <w:r>
        <w:rPr>
          <w:rFonts w:hint="eastAsia" w:ascii="黑体" w:hAnsi="黑体" w:eastAsia="黑体" w:cs="黑体"/>
          <w:sz w:val="24"/>
          <w:szCs w:val="24"/>
          <w:lang w:val="en-US" w:eastAsia="zh-CN"/>
        </w:rPr>
        <w:t>服务需求</w:t>
      </w:r>
    </w:p>
    <w:p w14:paraId="066E7A4B">
      <w:pPr>
        <w:keepNext w:val="0"/>
        <w:keepLines w:val="0"/>
        <w:pageBreakBefore w:val="0"/>
        <w:numPr>
          <w:ilvl w:val="0"/>
          <w:numId w:val="0"/>
        </w:numPr>
        <w:kinsoku/>
        <w:wordWrap/>
        <w:overflowPunct/>
        <w:topLinePunct w:val="0"/>
        <w:autoSpaceDE/>
        <w:autoSpaceDN/>
        <w:bidi w:val="0"/>
        <w:adjustRightInd/>
        <w:snapToGrid/>
        <w:spacing w:line="240" w:lineRule="auto"/>
        <w:ind w:left="0" w:leftChars="0" w:firstLine="420" w:firstLineChars="0"/>
        <w:textAlignment w:val="auto"/>
        <w:rPr>
          <w:rFonts w:hint="eastAsia" w:ascii="楷体" w:hAnsi="楷体" w:eastAsia="楷体" w:cs="楷体"/>
          <w:sz w:val="24"/>
          <w:szCs w:val="24"/>
          <w:lang w:val="en-US" w:eastAsia="zh-CN"/>
        </w:rPr>
      </w:pPr>
      <w:r>
        <w:rPr>
          <w:rFonts w:hint="eastAsia" w:ascii="楷体" w:hAnsi="楷体" w:eastAsia="楷体" w:cs="楷体"/>
          <w:kern w:val="2"/>
          <w:sz w:val="24"/>
          <w:szCs w:val="24"/>
          <w:lang w:val="en-US" w:eastAsia="zh-CN" w:bidi="ar-SA"/>
        </w:rPr>
        <w:t>1、</w:t>
      </w:r>
      <w:r>
        <w:rPr>
          <w:rFonts w:hint="eastAsia" w:ascii="楷体" w:hAnsi="楷体" w:eastAsia="楷体" w:cs="楷体"/>
          <w:sz w:val="24"/>
          <w:szCs w:val="24"/>
          <w:lang w:val="en-US" w:eastAsia="zh-CN"/>
        </w:rPr>
        <w:t>设计内容</w:t>
      </w:r>
    </w:p>
    <w:p w14:paraId="5B0CEC5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方案设计需要包括项目基本概述、现状调查、加固维修设计、环境景观设计、工程造价等。所涉及的内容需包含国家规定的方案设计内容，并达到相应质量要求。</w:t>
      </w:r>
    </w:p>
    <w:p w14:paraId="3D6BF22F">
      <w:pPr>
        <w:keepNext w:val="0"/>
        <w:keepLines w:val="0"/>
        <w:pageBreakBefore w:val="0"/>
        <w:numPr>
          <w:ilvl w:val="0"/>
          <w:numId w:val="0"/>
        </w:numPr>
        <w:kinsoku/>
        <w:wordWrap/>
        <w:overflowPunct/>
        <w:topLinePunct w:val="0"/>
        <w:autoSpaceDE/>
        <w:autoSpaceDN/>
        <w:bidi w:val="0"/>
        <w:adjustRightInd/>
        <w:snapToGrid/>
        <w:spacing w:line="240" w:lineRule="auto"/>
        <w:ind w:left="0" w:leftChars="0" w:firstLine="420" w:firstLineChars="0"/>
        <w:textAlignment w:val="auto"/>
        <w:rPr>
          <w:rFonts w:hint="eastAsia" w:ascii="楷体" w:hAnsi="楷体" w:eastAsia="楷体" w:cs="楷体"/>
          <w:sz w:val="24"/>
          <w:szCs w:val="24"/>
          <w:lang w:val="en-US" w:eastAsia="zh-CN"/>
        </w:rPr>
      </w:pPr>
      <w:r>
        <w:rPr>
          <w:rFonts w:hint="eastAsia" w:ascii="楷体" w:hAnsi="楷体" w:eastAsia="楷体" w:cs="楷体"/>
          <w:kern w:val="2"/>
          <w:sz w:val="24"/>
          <w:szCs w:val="24"/>
          <w:lang w:val="en-US" w:eastAsia="zh-CN" w:bidi="ar-SA"/>
        </w:rPr>
        <w:t>2、</w:t>
      </w:r>
      <w:r>
        <w:rPr>
          <w:rFonts w:hint="eastAsia" w:ascii="楷体" w:hAnsi="楷体" w:eastAsia="楷体" w:cs="楷体"/>
          <w:sz w:val="24"/>
          <w:szCs w:val="24"/>
          <w:lang w:val="en-US" w:eastAsia="zh-CN"/>
        </w:rPr>
        <w:t>申请规划报审手续</w:t>
      </w:r>
    </w:p>
    <w:p w14:paraId="5B6CB3E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中标供应商需要按照江苏省国画院所属地规划部门的要求准备相应材料，并协助采购方申请报规手续，直至方案设计通过规划部门审批。</w:t>
      </w:r>
    </w:p>
    <w:p w14:paraId="4F8F0EE0">
      <w:pPr>
        <w:keepNext w:val="0"/>
        <w:keepLines w:val="0"/>
        <w:pageBreakBefore w:val="0"/>
        <w:numPr>
          <w:ilvl w:val="0"/>
          <w:numId w:val="0"/>
        </w:numPr>
        <w:kinsoku/>
        <w:wordWrap/>
        <w:overflowPunct/>
        <w:topLinePunct w:val="0"/>
        <w:autoSpaceDE/>
        <w:autoSpaceDN/>
        <w:bidi w:val="0"/>
        <w:adjustRightInd/>
        <w:snapToGrid/>
        <w:spacing w:line="240" w:lineRule="auto"/>
        <w:ind w:left="0" w:leftChars="0" w:firstLine="420" w:firstLineChars="0"/>
        <w:textAlignment w:val="auto"/>
        <w:rPr>
          <w:rFonts w:hint="eastAsia" w:ascii="楷体" w:hAnsi="楷体" w:eastAsia="楷体" w:cs="楷体"/>
          <w:kern w:val="2"/>
          <w:sz w:val="24"/>
          <w:szCs w:val="24"/>
          <w:lang w:val="en-US" w:eastAsia="zh-CN" w:bidi="ar-SA"/>
        </w:rPr>
      </w:pPr>
      <w:r>
        <w:rPr>
          <w:rFonts w:hint="eastAsia" w:ascii="楷体" w:hAnsi="楷体" w:eastAsia="楷体" w:cs="楷体"/>
          <w:kern w:val="2"/>
          <w:sz w:val="24"/>
          <w:szCs w:val="24"/>
          <w:lang w:val="en-US" w:eastAsia="zh-CN" w:bidi="ar-SA"/>
        </w:rPr>
        <w:t>3、沟通协调任务</w:t>
      </w:r>
    </w:p>
    <w:p w14:paraId="03EBC07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供应商需要配合采购人同江苏省公建中心、省发改委等单位进行沟通协调，确保整体工程任务的推进。</w:t>
      </w:r>
    </w:p>
    <w:p w14:paraId="2E73FD26">
      <w:pPr>
        <w:keepNext w:val="0"/>
        <w:keepLines w:val="0"/>
        <w:pageBreakBefore w:val="0"/>
        <w:numPr>
          <w:ilvl w:val="0"/>
          <w:numId w:val="0"/>
        </w:numPr>
        <w:kinsoku/>
        <w:wordWrap/>
        <w:overflowPunct/>
        <w:topLinePunct w:val="0"/>
        <w:autoSpaceDE/>
        <w:autoSpaceDN/>
        <w:bidi w:val="0"/>
        <w:adjustRightInd/>
        <w:snapToGrid/>
        <w:spacing w:line="240" w:lineRule="auto"/>
        <w:ind w:left="0" w:leftChars="0" w:firstLine="420" w:firstLineChars="0"/>
        <w:textAlignment w:val="auto"/>
        <w:rPr>
          <w:rFonts w:hint="eastAsia" w:ascii="楷体" w:hAnsi="楷体" w:eastAsia="楷体" w:cs="楷体"/>
          <w:kern w:val="2"/>
          <w:sz w:val="24"/>
          <w:szCs w:val="24"/>
          <w:lang w:val="en-US" w:eastAsia="zh-CN" w:bidi="ar-SA"/>
        </w:rPr>
      </w:pPr>
      <w:r>
        <w:rPr>
          <w:rFonts w:hint="eastAsia" w:ascii="楷体" w:hAnsi="楷体" w:eastAsia="楷体" w:cs="楷体"/>
          <w:kern w:val="2"/>
          <w:sz w:val="24"/>
          <w:szCs w:val="24"/>
          <w:lang w:val="en-US" w:eastAsia="zh-CN" w:bidi="ar-SA"/>
        </w:rPr>
        <w:t>4、设计要求</w:t>
      </w:r>
    </w:p>
    <w:p w14:paraId="104AFA68">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kern w:val="2"/>
          <w:sz w:val="24"/>
          <w:szCs w:val="24"/>
          <w:lang w:val="en-US" w:eastAsia="zh-CN" w:bidi="ar-SA"/>
        </w:rPr>
        <w:t>（1）</w:t>
      </w:r>
      <w:r>
        <w:rPr>
          <w:rFonts w:hint="eastAsia" w:ascii="仿宋" w:hAnsi="仿宋" w:eastAsia="仿宋" w:cs="仿宋"/>
          <w:sz w:val="24"/>
          <w:szCs w:val="24"/>
          <w:lang w:val="en-US" w:eastAsia="zh-CN"/>
        </w:rPr>
        <w:t>供应商在设计开始前，需要充分与采购人进行沟通，了解采购人需求，不断完善设计方案。</w:t>
      </w:r>
    </w:p>
    <w:p w14:paraId="41C74AF5">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kern w:val="2"/>
          <w:sz w:val="24"/>
          <w:szCs w:val="24"/>
          <w:lang w:val="en-US" w:eastAsia="zh-CN" w:bidi="ar-SA"/>
        </w:rPr>
        <w:t>（2）</w:t>
      </w:r>
      <w:r>
        <w:rPr>
          <w:rFonts w:hint="eastAsia" w:ascii="仿宋" w:hAnsi="仿宋" w:eastAsia="仿宋" w:cs="仿宋"/>
          <w:sz w:val="24"/>
          <w:szCs w:val="24"/>
          <w:lang w:val="en-US" w:eastAsia="zh-CN"/>
        </w:rPr>
        <w:t>方案设计科学合理，符合本工程实际情况，体现仿古园林、工程加固等项目特点，因地制宜的开展设计工作。</w:t>
      </w:r>
    </w:p>
    <w:p w14:paraId="67C390A5">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kern w:val="2"/>
          <w:sz w:val="24"/>
          <w:szCs w:val="24"/>
          <w:lang w:val="en-US" w:eastAsia="zh-CN" w:bidi="ar-SA"/>
        </w:rPr>
        <w:t>（3）</w:t>
      </w:r>
      <w:r>
        <w:rPr>
          <w:rFonts w:hint="eastAsia" w:ascii="仿宋" w:hAnsi="仿宋" w:eastAsia="仿宋" w:cs="仿宋"/>
          <w:sz w:val="24"/>
          <w:szCs w:val="24"/>
          <w:lang w:val="en-US" w:eastAsia="zh-CN"/>
        </w:rPr>
        <w:t>供应商应同采购人紧前对接所属地的规划部门，根据规划部门要求修改方案设计，并最终取得规划部门审批通过。</w:t>
      </w:r>
    </w:p>
    <w:p w14:paraId="7E723BE8">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kern w:val="2"/>
          <w:sz w:val="24"/>
          <w:szCs w:val="24"/>
          <w:lang w:val="en-US" w:eastAsia="zh-CN" w:bidi="ar-SA"/>
        </w:rPr>
        <w:t>（4）</w:t>
      </w:r>
      <w:r>
        <w:rPr>
          <w:rFonts w:hint="eastAsia" w:ascii="仿宋" w:hAnsi="仿宋" w:eastAsia="仿宋" w:cs="仿宋"/>
          <w:sz w:val="24"/>
          <w:szCs w:val="24"/>
          <w:lang w:val="en-US" w:eastAsia="zh-CN"/>
        </w:rPr>
        <w:t>规划方案合理利用土地，与周边环境协调。项目功能设计合理，符合本项目特定的功能需求及满足规范要求。</w:t>
      </w:r>
    </w:p>
    <w:p w14:paraId="35A6315F">
      <w:pPr>
        <w:keepNext w:val="0"/>
        <w:keepLines w:val="0"/>
        <w:pageBreakBefore w:val="0"/>
        <w:numPr>
          <w:ilvl w:val="0"/>
          <w:numId w:val="0"/>
        </w:numPr>
        <w:kinsoku/>
        <w:wordWrap/>
        <w:overflowPunct/>
        <w:topLinePunct w:val="0"/>
        <w:autoSpaceDE/>
        <w:autoSpaceDN/>
        <w:bidi w:val="0"/>
        <w:adjustRightInd/>
        <w:snapToGrid/>
        <w:spacing w:line="240" w:lineRule="auto"/>
        <w:ind w:left="0" w:leftChars="0" w:firstLine="420" w:firstLineChars="0"/>
        <w:textAlignment w:val="auto"/>
        <w:rPr>
          <w:rFonts w:hint="eastAsia" w:ascii="楷体" w:hAnsi="楷体" w:eastAsia="楷体" w:cs="楷体"/>
          <w:kern w:val="2"/>
          <w:sz w:val="24"/>
          <w:szCs w:val="24"/>
          <w:lang w:val="en-US" w:eastAsia="zh-CN" w:bidi="ar-SA"/>
        </w:rPr>
      </w:pPr>
      <w:r>
        <w:rPr>
          <w:rFonts w:hint="eastAsia" w:ascii="楷体" w:hAnsi="楷体" w:eastAsia="楷体" w:cs="楷体"/>
          <w:kern w:val="2"/>
          <w:sz w:val="24"/>
          <w:szCs w:val="24"/>
          <w:lang w:val="en-US" w:eastAsia="zh-CN" w:bidi="ar-SA"/>
        </w:rPr>
        <w:t>5、踏勘现场</w:t>
      </w:r>
    </w:p>
    <w:p w14:paraId="694D2BC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（1）投标人自行组织现场踏勘,了解现场改造部位情况。 </w:t>
      </w:r>
    </w:p>
    <w:p w14:paraId="72DC933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0"/>
        <w:jc w:val="both"/>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（2）投标人踏勘现场发生的费用自理。</w:t>
      </w:r>
    </w:p>
    <w:p w14:paraId="6D39441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0"/>
        <w:jc w:val="both"/>
        <w:textAlignment w:val="auto"/>
        <w:rPr>
          <w:rFonts w:hint="default"/>
          <w:lang w:val="en-US" w:eastAsia="zh-CN"/>
        </w:rPr>
      </w:pPr>
      <w:r>
        <w:rPr>
          <w:rFonts w:hint="eastAsia" w:ascii="仿宋" w:hAnsi="仿宋" w:eastAsia="仿宋" w:cs="仿宋"/>
          <w:sz w:val="24"/>
          <w:szCs w:val="24"/>
          <w:lang w:val="en-US" w:eastAsia="zh-CN"/>
        </w:rPr>
        <w:t>（3）投标人自行负责在踏勘现场中所发生的人员伤亡和财产损失。</w:t>
      </w:r>
      <w:r>
        <w:rPr>
          <w:rFonts w:hint="default"/>
          <w:lang w:val="en-US" w:eastAsia="zh-CN"/>
        </w:rPr>
        <w:t xml:space="preserve"> </w:t>
      </w:r>
    </w:p>
    <w:p w14:paraId="7B84410E">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default" w:ascii="黑体" w:hAnsi="黑体" w:eastAsia="黑体" w:cs="黑体"/>
          <w:sz w:val="24"/>
          <w:szCs w:val="24"/>
          <w:lang w:val="en-US" w:eastAsia="zh-CN"/>
        </w:rPr>
      </w:pPr>
      <w:r>
        <w:rPr>
          <w:rFonts w:hint="eastAsia" w:ascii="黑体" w:hAnsi="黑体" w:eastAsia="黑体" w:cs="黑体"/>
          <w:kern w:val="2"/>
          <w:sz w:val="24"/>
          <w:szCs w:val="24"/>
          <w:lang w:val="en-US" w:eastAsia="zh-CN" w:bidi="ar-SA"/>
        </w:rPr>
        <w:t>六、</w:t>
      </w:r>
      <w:r>
        <w:rPr>
          <w:rFonts w:hint="default" w:ascii="黑体" w:hAnsi="黑体" w:eastAsia="黑体" w:cs="黑体"/>
          <w:sz w:val="24"/>
          <w:szCs w:val="24"/>
          <w:lang w:val="en-US" w:eastAsia="zh-CN"/>
        </w:rPr>
        <w:t>合同与付款</w:t>
      </w:r>
    </w:p>
    <w:p w14:paraId="5DD9743E">
      <w:pPr>
        <w:keepNext w:val="0"/>
        <w:keepLines w:val="0"/>
        <w:pageBreakBefore w:val="0"/>
        <w:numPr>
          <w:ilvl w:val="0"/>
          <w:numId w:val="0"/>
        </w:numPr>
        <w:kinsoku/>
        <w:wordWrap/>
        <w:overflowPunct/>
        <w:topLinePunct w:val="0"/>
        <w:autoSpaceDE/>
        <w:autoSpaceDN/>
        <w:bidi w:val="0"/>
        <w:adjustRightInd/>
        <w:snapToGrid/>
        <w:spacing w:line="240" w:lineRule="auto"/>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lang w:val="en-US" w:eastAsia="zh-CN"/>
        </w:rPr>
        <w:tab/>
      </w:r>
      <w:r>
        <w:rPr>
          <w:rFonts w:hint="eastAsia" w:ascii="仿宋" w:hAnsi="仿宋" w:eastAsia="仿宋" w:cs="仿宋"/>
          <w:sz w:val="24"/>
          <w:szCs w:val="24"/>
          <w:lang w:val="en-US" w:eastAsia="zh-CN"/>
        </w:rPr>
        <w:t>1.合同形式：固定总价合同，中标价即合同价。</w:t>
      </w:r>
    </w:p>
    <w:p w14:paraId="5F52952C">
      <w:pPr>
        <w:keepNext w:val="0"/>
        <w:keepLines w:val="0"/>
        <w:pageBreakBefore w:val="0"/>
        <w:numPr>
          <w:ilvl w:val="0"/>
          <w:numId w:val="0"/>
        </w:numPr>
        <w:kinsoku/>
        <w:wordWrap/>
        <w:overflowPunct/>
        <w:topLinePunct w:val="0"/>
        <w:autoSpaceDE/>
        <w:autoSpaceDN/>
        <w:bidi w:val="0"/>
        <w:adjustRightInd/>
        <w:snapToGrid/>
        <w:spacing w:line="240" w:lineRule="auto"/>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lang w:val="en-US" w:eastAsia="zh-CN"/>
        </w:rPr>
        <w:tab/>
      </w:r>
      <w:r>
        <w:rPr>
          <w:rFonts w:hint="eastAsia" w:ascii="仿宋" w:hAnsi="仿宋" w:eastAsia="仿宋" w:cs="仿宋"/>
          <w:sz w:val="24"/>
          <w:szCs w:val="24"/>
          <w:lang w:val="en-US" w:eastAsia="zh-CN"/>
        </w:rPr>
        <w:t xml:space="preserve">2.付款方式：供应商完成方案设计并协助甲方通过规划部门审批后，待江苏省公建中心拨付资金至江苏省国画院后，一次性付清款项。 </w:t>
      </w:r>
    </w:p>
    <w:p w14:paraId="183923EE">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default"/>
          <w:lang w:val="en-US" w:eastAsia="zh-CN"/>
        </w:rPr>
      </w:pPr>
      <w:r>
        <w:rPr>
          <w:rFonts w:hint="eastAsia" w:ascii="黑体" w:hAnsi="黑体" w:eastAsia="黑体" w:cs="黑体"/>
          <w:sz w:val="24"/>
          <w:szCs w:val="24"/>
          <w:lang w:val="en-US" w:eastAsia="zh-CN"/>
        </w:rPr>
        <w:t>七</w:t>
      </w:r>
      <w:r>
        <w:rPr>
          <w:rFonts w:hint="default" w:ascii="黑体" w:hAnsi="黑体" w:eastAsia="黑体" w:cs="黑体"/>
          <w:sz w:val="24"/>
          <w:szCs w:val="24"/>
          <w:lang w:val="en-US" w:eastAsia="zh-CN"/>
        </w:rPr>
        <w:t>、风险与责任</w:t>
      </w:r>
      <w:r>
        <w:rPr>
          <w:rFonts w:hint="default"/>
          <w:lang w:val="en-US" w:eastAsia="zh-CN"/>
        </w:rPr>
        <w:t xml:space="preserve"> </w:t>
      </w:r>
    </w:p>
    <w:p w14:paraId="7DF1D0EC">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1、投标人应考虑所有可能出现的风险，后期费用不作任何调整。</w:t>
      </w:r>
    </w:p>
    <w:p w14:paraId="43C44ADE">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2、因设计缺陷导致返工，设计方承担修复费用。</w:t>
      </w:r>
    </w:p>
    <w:p w14:paraId="63396A8C">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黑体" w:hAnsi="黑体" w:eastAsia="黑体" w:cs="黑体"/>
          <w:sz w:val="24"/>
          <w:szCs w:val="24"/>
          <w:lang w:val="en-US" w:eastAsia="zh-CN"/>
        </w:rPr>
      </w:pPr>
      <w:r>
        <w:rPr>
          <w:rFonts w:hint="eastAsia" w:ascii="黑体" w:hAnsi="黑体" w:eastAsia="黑体" w:cs="黑体"/>
          <w:sz w:val="24"/>
          <w:szCs w:val="24"/>
          <w:lang w:val="en-US" w:eastAsia="zh-CN"/>
        </w:rPr>
        <w:t>八、评审方式</w:t>
      </w:r>
    </w:p>
    <w:p w14:paraId="66A75A08">
      <w:pPr>
        <w:keepNext w:val="0"/>
        <w:keepLines w:val="0"/>
        <w:pageBreakBefore w:val="0"/>
        <w:numPr>
          <w:ilvl w:val="0"/>
          <w:numId w:val="0"/>
        </w:numPr>
        <w:kinsoku/>
        <w:wordWrap/>
        <w:overflowPunct/>
        <w:topLinePunct w:val="0"/>
        <w:autoSpaceDE/>
        <w:autoSpaceDN/>
        <w:bidi w:val="0"/>
        <w:adjustRightInd/>
        <w:snapToGrid/>
        <w:spacing w:line="240" w:lineRule="auto"/>
        <w:textAlignment w:val="auto"/>
        <w:rPr>
          <w:rFonts w:hint="default" w:ascii="仿宋" w:hAnsi="仿宋" w:eastAsia="仿宋" w:cs="仿宋"/>
          <w:sz w:val="24"/>
          <w:szCs w:val="24"/>
          <w:lang w:val="en-US" w:eastAsia="zh-CN"/>
        </w:rPr>
      </w:pPr>
      <w:r>
        <w:rPr>
          <w:rFonts w:hint="default" w:ascii="仿宋" w:hAnsi="仿宋" w:eastAsia="仿宋" w:cs="仿宋"/>
          <w:sz w:val="24"/>
          <w:szCs w:val="24"/>
          <w:lang w:val="en-US" w:eastAsia="zh-CN"/>
        </w:rPr>
        <w:t>本项目采用最低成交价法，即价格最低者为中标单位。</w:t>
      </w:r>
    </w:p>
    <w:p w14:paraId="2832391E">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default" w:ascii="黑体" w:hAnsi="黑体" w:eastAsia="黑体" w:cs="黑体"/>
          <w:sz w:val="24"/>
          <w:szCs w:val="24"/>
          <w:lang w:val="en-US" w:eastAsia="zh-CN"/>
        </w:rPr>
      </w:pPr>
      <w:r>
        <w:rPr>
          <w:rFonts w:hint="eastAsia" w:ascii="黑体" w:hAnsi="黑体" w:eastAsia="黑体" w:cs="黑体"/>
          <w:sz w:val="24"/>
          <w:szCs w:val="24"/>
          <w:lang w:val="en-US" w:eastAsia="zh-CN"/>
        </w:rPr>
        <w:t>九、</w:t>
      </w:r>
      <w:r>
        <w:rPr>
          <w:rFonts w:hint="default" w:ascii="黑体" w:hAnsi="黑体" w:eastAsia="黑体" w:cs="黑体"/>
          <w:sz w:val="24"/>
          <w:szCs w:val="24"/>
          <w:lang w:val="en-US" w:eastAsia="zh-CN"/>
        </w:rPr>
        <w:t xml:space="preserve">签订合同 </w:t>
      </w:r>
    </w:p>
    <w:p w14:paraId="760EF12C">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1、采购人与成交供应商应当在成交通知书发出后10天内，按照比选文件以及采购标的、采购金额和服务要求等事项签订采购合同。</w:t>
      </w:r>
    </w:p>
    <w:p w14:paraId="4D4DA36E">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2、比选文件、成交供应商的响应文件及有效承诺文件等，均为签订合同的依据。</w:t>
      </w:r>
    </w:p>
    <w:p w14:paraId="3002FF66">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3、成交供应商未按照比选文件确定的事项签订合同，或者与采购人另行订立背离合同实质性内容协议的，将承担相关责任。</w:t>
      </w:r>
    </w:p>
    <w:p w14:paraId="291289CD">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4、采购人不得向成交供应商提出超出比选文件以外的任何要求作为签订合同的条件，不得与成交供应商订立背离比选确定的合同文本以及采购标的、采购金额和服务要求等实质性内容的协议。</w:t>
      </w:r>
    </w:p>
    <w:p w14:paraId="5A35FF17">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lang w:val="en-US" w:eastAsia="zh-CN"/>
        </w:rPr>
      </w:pPr>
      <w:r>
        <w:rPr>
          <w:rFonts w:hint="eastAsia" w:ascii="仿宋" w:hAnsi="仿宋" w:eastAsia="仿宋" w:cs="仿宋"/>
          <w:sz w:val="24"/>
          <w:szCs w:val="24"/>
          <w:lang w:val="en-US" w:eastAsia="zh-CN"/>
        </w:rPr>
        <w:t>5、除不可抗力等因素外，成交通知书发出后，采购人改变成交结果， 或者成交供应商无正当理由拒绝签订采购合同的，应当承担相应的责任，受到相关处罚。</w:t>
      </w:r>
    </w:p>
    <w:p w14:paraId="7BAA65AD">
      <w:pPr>
        <w:keepNext w:val="0"/>
        <w:keepLines w:val="0"/>
        <w:pageBreakBefore w:val="0"/>
        <w:numPr>
          <w:ilvl w:val="0"/>
          <w:numId w:val="0"/>
        </w:numPr>
        <w:kinsoku/>
        <w:wordWrap/>
        <w:overflowPunct/>
        <w:topLinePunct w:val="0"/>
        <w:autoSpaceDE/>
        <w:autoSpaceDN/>
        <w:bidi w:val="0"/>
        <w:adjustRightInd/>
        <w:snapToGrid/>
        <w:spacing w:line="240" w:lineRule="auto"/>
        <w:ind w:firstLine="420" w:firstLineChars="0"/>
        <w:textAlignment w:val="auto"/>
        <w:rPr>
          <w:rFonts w:hint="default" w:ascii="黑体" w:hAnsi="黑体" w:eastAsia="黑体" w:cs="黑体"/>
          <w:sz w:val="24"/>
          <w:szCs w:val="24"/>
          <w:lang w:val="en-US" w:eastAsia="zh-CN"/>
        </w:rPr>
      </w:pPr>
      <w:r>
        <w:rPr>
          <w:rFonts w:hint="eastAsia" w:ascii="黑体" w:hAnsi="黑体" w:eastAsia="黑体" w:cs="黑体"/>
          <w:sz w:val="24"/>
          <w:szCs w:val="24"/>
          <w:lang w:val="en-US" w:eastAsia="zh-CN"/>
        </w:rPr>
        <w:t>十、项目工期及交付</w:t>
      </w:r>
    </w:p>
    <w:p w14:paraId="4B14ED7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1、本项目工期为15日，自合同签订之日起完成全部方案设计工作，向甲方提供满足要求的设计文件，后续的报规手续所需时间不包含在内，设计延误每日扣减合同金额5%。</w:t>
      </w:r>
    </w:p>
    <w:p w14:paraId="0E85478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2、方案设计完成后，供应商向采购方提交不少于3份方案设计的纸质版本文件。</w:t>
      </w:r>
    </w:p>
    <w:p w14:paraId="5A2180CA">
      <w:pPr>
        <w:keepNext w:val="0"/>
        <w:keepLines w:val="0"/>
        <w:pageBreakBefore w:val="0"/>
        <w:numPr>
          <w:ilvl w:val="0"/>
          <w:numId w:val="0"/>
        </w:numPr>
        <w:kinsoku/>
        <w:wordWrap/>
        <w:overflowPunct/>
        <w:topLinePunct w:val="0"/>
        <w:autoSpaceDE/>
        <w:autoSpaceDN/>
        <w:bidi w:val="0"/>
        <w:adjustRightInd/>
        <w:snapToGrid/>
        <w:spacing w:line="240" w:lineRule="auto"/>
        <w:textAlignment w:val="auto"/>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0C0D08"/>
    <w:rsid w:val="006A3762"/>
    <w:rsid w:val="1EF003DC"/>
    <w:rsid w:val="2ED0243B"/>
    <w:rsid w:val="330C0D08"/>
    <w:rsid w:val="3F4B11C7"/>
    <w:rsid w:val="63C969F1"/>
    <w:rsid w:val="67C77A3E"/>
    <w:rsid w:val="6A7C39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2620</Words>
  <Characters>2734</Characters>
  <Lines>0</Lines>
  <Paragraphs>0</Paragraphs>
  <TotalTime>18</TotalTime>
  <ScaleCrop>false</ScaleCrop>
  <LinksUpToDate>false</LinksUpToDate>
  <CharactersWithSpaces>2772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2025-09-02T02:47:00Z</dcterms:created>
  <dc:creator>夜尽天明</dc:creator>
  <cp:lastModifiedBy>夜尽天明</cp:lastModifiedBy>
  <dcterms:modified xsi:type="dcterms:W3CDTF">2025-09-15T07:32:39Z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4B945D1545C54A94872941FA42724CFA_11</vt:lpwstr>
  </property>
  <property fmtid="{D5CDD505-2E9C-101B-9397-08002B2CF9AE}" pid="4" name="KSOTemplateDocerSaveRecord">
    <vt:lpwstr>eyJoZGlkIjoiNTNhNWEzYjMwZGFiNWM5NTg0MzdkMzA2NDVkNDZjMzMiLCJ1c2VySWQiOiIzMTAwODE1NzIifQ==</vt:lpwstr>
  </property>
</Properties>
</file>